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6" w:rsidRPr="00FB47D9" w:rsidRDefault="00F128F6" w:rsidP="00F128F6">
      <w:pPr>
        <w:widowControl/>
        <w:spacing w:line="600" w:lineRule="exact"/>
        <w:jc w:val="center"/>
        <w:rPr>
          <w:rFonts w:ascii="华文中宋" w:eastAsia="华文中宋" w:hAnsi="华文中宋"/>
          <w:b/>
          <w:sz w:val="44"/>
          <w:szCs w:val="44"/>
        </w:rPr>
      </w:pPr>
      <w:r w:rsidRPr="00FB47D9">
        <w:rPr>
          <w:rFonts w:ascii="华文中宋" w:eastAsia="华文中宋" w:hAnsi="华文中宋" w:hint="eastAsia"/>
          <w:b/>
          <w:sz w:val="44"/>
          <w:szCs w:val="44"/>
        </w:rPr>
        <w:t>中国石油大学（华东）</w:t>
      </w:r>
    </w:p>
    <w:p w:rsidR="00823810" w:rsidRDefault="00F128F6" w:rsidP="00F128F6">
      <w:pPr>
        <w:widowControl/>
        <w:spacing w:line="600" w:lineRule="exact"/>
        <w:jc w:val="center"/>
        <w:rPr>
          <w:rFonts w:ascii="华文中宋" w:eastAsia="华文中宋" w:hAnsi="华文中宋" w:hint="eastAsia"/>
          <w:b/>
          <w:spacing w:val="-8"/>
          <w:sz w:val="44"/>
          <w:szCs w:val="44"/>
        </w:rPr>
      </w:pPr>
      <w:r w:rsidRPr="00FB47D9">
        <w:rPr>
          <w:rFonts w:ascii="华文中宋" w:eastAsia="华文中宋" w:hAnsi="华文中宋" w:hint="eastAsia"/>
          <w:b/>
          <w:spacing w:val="-8"/>
          <w:sz w:val="44"/>
          <w:szCs w:val="44"/>
        </w:rPr>
        <w:t>会计硕士(</w:t>
      </w:r>
      <w:proofErr w:type="spellStart"/>
      <w:r w:rsidRPr="00FB47D9">
        <w:rPr>
          <w:rFonts w:ascii="华文中宋" w:eastAsia="华文中宋" w:hAnsi="华文中宋"/>
          <w:b/>
          <w:spacing w:val="-8"/>
          <w:sz w:val="44"/>
          <w:szCs w:val="44"/>
        </w:rPr>
        <w:t>MPAcc</w:t>
      </w:r>
      <w:proofErr w:type="spellEnd"/>
      <w:r w:rsidRPr="00FB47D9">
        <w:rPr>
          <w:rFonts w:ascii="华文中宋" w:eastAsia="华文中宋" w:hAnsi="华文中宋" w:hint="eastAsia"/>
          <w:b/>
          <w:spacing w:val="-8"/>
          <w:sz w:val="44"/>
          <w:szCs w:val="44"/>
        </w:rPr>
        <w:t>)研究生学位论文</w:t>
      </w:r>
    </w:p>
    <w:p w:rsidR="00F128F6" w:rsidRPr="00FB47D9" w:rsidRDefault="00F128F6" w:rsidP="00F128F6">
      <w:pPr>
        <w:widowControl/>
        <w:spacing w:line="600" w:lineRule="exact"/>
        <w:jc w:val="center"/>
        <w:rPr>
          <w:rFonts w:ascii="华文中宋" w:eastAsia="华文中宋" w:hAnsi="华文中宋"/>
          <w:b/>
          <w:sz w:val="44"/>
          <w:szCs w:val="44"/>
        </w:rPr>
      </w:pPr>
      <w:bookmarkStart w:id="0" w:name="_GoBack"/>
      <w:bookmarkEnd w:id="0"/>
      <w:r w:rsidRPr="00FB47D9">
        <w:rPr>
          <w:rFonts w:ascii="华文中宋" w:eastAsia="华文中宋" w:hAnsi="华文中宋" w:hint="eastAsia"/>
          <w:b/>
          <w:spacing w:val="-8"/>
          <w:sz w:val="44"/>
          <w:szCs w:val="44"/>
        </w:rPr>
        <w:t>与答辩工作</w:t>
      </w:r>
      <w:r w:rsidRPr="00FB47D9">
        <w:rPr>
          <w:rFonts w:ascii="华文中宋" w:eastAsia="华文中宋" w:hAnsi="华文中宋" w:hint="eastAsia"/>
          <w:b/>
          <w:sz w:val="44"/>
          <w:szCs w:val="44"/>
        </w:rPr>
        <w:t>指导意见</w:t>
      </w:r>
    </w:p>
    <w:p w:rsidR="00F128F6" w:rsidRPr="00FB47D9" w:rsidRDefault="00F128F6" w:rsidP="00F128F6">
      <w:pPr>
        <w:widowControl/>
        <w:spacing w:line="600" w:lineRule="exact"/>
        <w:jc w:val="center"/>
        <w:rPr>
          <w:rFonts w:ascii="华文中宋" w:eastAsia="华文中宋" w:hAnsi="华文中宋"/>
          <w:b/>
          <w:sz w:val="32"/>
          <w:szCs w:val="32"/>
        </w:rPr>
      </w:pPr>
      <w:r w:rsidRPr="00FB47D9">
        <w:rPr>
          <w:rFonts w:ascii="仿宋_GB2312" w:eastAsia="仿宋_GB2312" w:hAnsi="华文中宋" w:hint="eastAsia"/>
          <w:sz w:val="32"/>
          <w:szCs w:val="32"/>
        </w:rPr>
        <w:t>中</w:t>
      </w:r>
      <w:r w:rsidRPr="00FB47D9">
        <w:rPr>
          <w:rFonts w:ascii="仿宋_GB2312" w:eastAsia="仿宋_GB2312" w:hAnsi="宋体" w:hint="eastAsia"/>
          <w:sz w:val="32"/>
          <w:szCs w:val="32"/>
        </w:rPr>
        <w:t>石</w:t>
      </w:r>
      <w:r w:rsidRPr="00FB47D9">
        <w:rPr>
          <w:rFonts w:ascii="仿宋_GB2312" w:eastAsia="仿宋_GB2312" w:hAnsi="华文中宋" w:hint="eastAsia"/>
          <w:sz w:val="32"/>
          <w:szCs w:val="32"/>
        </w:rPr>
        <w:t>大东发〔2012〕86号</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为明确会计硕士(</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)学位论文有关要求，保证学位授予质量，</w:t>
      </w:r>
      <w:r w:rsidRPr="00FB47D9">
        <w:rPr>
          <w:rFonts w:ascii="仿宋_GB2312" w:eastAsia="仿宋_GB2312"/>
          <w:bCs/>
          <w:sz w:val="32"/>
          <w:szCs w:val="32"/>
        </w:rPr>
        <w:t>根据</w:t>
      </w:r>
      <w:r w:rsidRPr="00FB47D9">
        <w:rPr>
          <w:rFonts w:ascii="仿宋_GB2312" w:eastAsia="仿宋_GB2312" w:hint="eastAsia"/>
          <w:bCs/>
          <w:sz w:val="32"/>
          <w:szCs w:val="32"/>
        </w:rPr>
        <w:t>国务院学位委员会《会计硕士专业学位设置方案》和全国会计硕士专业学位教育指导委员会《</w:t>
      </w:r>
      <w:r w:rsidRPr="00FB47D9">
        <w:rPr>
          <w:rFonts w:ascii="仿宋_GB2312" w:eastAsia="仿宋_GB2312"/>
          <w:bCs/>
          <w:sz w:val="32"/>
          <w:szCs w:val="32"/>
        </w:rPr>
        <w:t>会计硕士专业学位研究生参考性培养方案（2011）</w:t>
      </w:r>
      <w:r w:rsidRPr="00FB47D9">
        <w:rPr>
          <w:rFonts w:ascii="仿宋_GB2312" w:eastAsia="仿宋_GB2312" w:hint="eastAsia"/>
          <w:bCs/>
          <w:sz w:val="32"/>
          <w:szCs w:val="32"/>
        </w:rPr>
        <w:t>》、《</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学位论文指导性规范》及其他相关规定，特制定本指导意见</w:t>
      </w:r>
      <w:r w:rsidRPr="00FB47D9">
        <w:rPr>
          <w:rFonts w:ascii="仿宋_GB2312" w:eastAsia="仿宋_GB2312"/>
          <w:bCs/>
          <w:sz w:val="32"/>
          <w:szCs w:val="32"/>
        </w:rPr>
        <w:t>。</w:t>
      </w:r>
    </w:p>
    <w:p w:rsidR="00F128F6" w:rsidRPr="00FB47D9" w:rsidRDefault="00F128F6" w:rsidP="00F128F6">
      <w:pPr>
        <w:spacing w:line="600" w:lineRule="exact"/>
        <w:ind w:firstLineChars="196" w:firstLine="627"/>
        <w:outlineLvl w:val="0"/>
        <w:rPr>
          <w:rFonts w:ascii="黑体" w:eastAsia="黑体" w:hAnsi="黑体"/>
          <w:bCs/>
          <w:sz w:val="32"/>
          <w:szCs w:val="32"/>
        </w:rPr>
      </w:pPr>
      <w:r w:rsidRPr="00FB47D9">
        <w:rPr>
          <w:rFonts w:ascii="黑体" w:eastAsia="黑体" w:hAnsi="黑体" w:hint="eastAsia"/>
          <w:bCs/>
          <w:sz w:val="32"/>
          <w:szCs w:val="32"/>
        </w:rPr>
        <w:t>一、学位论文选题与开题</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研究生在完成课程学习达到培养方案规定的学分要求后，应及时与导师协商确定学位论文选题，开展会计实务实践和学位论文研究工作。</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选题应有一定的理论意义和实践价值，选题要体现本专业的研究角度，以会计实务问题为研究对象，不提倡纯学术研究论文。具体形式包括案例分析、调研报告、理论结合实务专题研究以及其他形式，应有数据或实际资料做支撑。</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3．</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研究生学位论文开题工作由学院统一组织，一般应于第三学期9月份完成。在确定学位论文选题后，研究生应填写《中国石油大学（华东）</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研究生学位论文选题报告》。学位论文工作时间（从开题至论文答辩）应不少于6个月。</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lastRenderedPageBreak/>
        <w:t>二、学位论文内容要求</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要坚持学术道德，致力于解决实务问题，提倡学术创新。学位论文应坚持理论与实际相结合，论文的观点、研究方法和研究结论应有一定的创新性；要以问题为导向，通过解决具体问题揭示具有指导性的思路、方案、政策等。</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研究生学位论文具体可选择以下形式：</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（1）案例分析。对于案例分析类型的论文，案例应具有真实性和代表性，因保密等原因需对数据进行处理的，应保持数据间的协调性。除案例主体外，论文应有足够的分析性内容并形成研究结论。</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调研报告。对于调研报告类型的论文，要注重实地调查，调查方法科学、先进，数据资料翔实。对企业进行诊断类调研的，要求调研报告必须具有一定的代表性，并对所诊断对象进行分析，同时进行理论提升，并提出改进方案和措施等诊断意见。</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（3）专题研究。对于专题研究类型的论文，应注明论文中前人所做工作或所得结论，以及在他人基础上由作者所完成的工作，要说明论文提出观点的正确性及其理论和实践意义。</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t>三、学位论文格式与写作要求</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研究生学位论文格式应符合《中国石油大学（华东）研究生学位论文书写基本要求》</w:t>
      </w:r>
      <w:r w:rsidRPr="00FB47D9">
        <w:rPr>
          <w:rFonts w:ascii="仿宋_GB2312" w:eastAsia="仿宋_GB2312"/>
          <w:bCs/>
          <w:sz w:val="32"/>
          <w:szCs w:val="32"/>
        </w:rPr>
        <w:t>的统一要求</w:t>
      </w:r>
      <w:r w:rsidRPr="00FB47D9">
        <w:rPr>
          <w:rFonts w:ascii="仿宋_GB2312" w:eastAsia="仿宋_GB2312" w:hint="eastAsia"/>
          <w:bCs/>
          <w:sz w:val="32"/>
          <w:szCs w:val="32"/>
        </w:rPr>
        <w:t>。</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lastRenderedPageBreak/>
        <w:t>2．</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研究生学位论文总字数不少于两万字。论文应由本人独立完成，列出引用的文献及参考资料（20～30篇）并注明出处。</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t>四、学位论文指导</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研究生培养实行主导师负责下的导师组合作指导制，其中主导师应具有学校认定的导师资格，导师组由具有副高级以上专业技术职务的校内教师和实际会计岗位上的工作人员（至少1人）组成。</w:t>
      </w:r>
      <w:proofErr w:type="spellStart"/>
      <w:r w:rsidRPr="00FB47D9">
        <w:rPr>
          <w:rFonts w:ascii="仿宋_GB2312" w:eastAsia="仿宋_GB2312"/>
          <w:bCs/>
          <w:sz w:val="32"/>
          <w:szCs w:val="32"/>
        </w:rPr>
        <w:t>MPAcc</w:t>
      </w:r>
      <w:proofErr w:type="spellEnd"/>
      <w:r w:rsidRPr="00FB47D9">
        <w:rPr>
          <w:rFonts w:ascii="仿宋_GB2312" w:eastAsia="仿宋_GB2312" w:hint="eastAsia"/>
          <w:bCs/>
          <w:sz w:val="32"/>
          <w:szCs w:val="32"/>
        </w:rPr>
        <w:t>研究生导师组由</w:t>
      </w:r>
      <w:proofErr w:type="spellStart"/>
      <w:r w:rsidRPr="00FB47D9">
        <w:rPr>
          <w:rFonts w:ascii="仿宋_GB2312" w:eastAsia="仿宋_GB2312"/>
          <w:bCs/>
          <w:sz w:val="32"/>
          <w:szCs w:val="32"/>
        </w:rPr>
        <w:t>MPAcc</w:t>
      </w:r>
      <w:proofErr w:type="spellEnd"/>
      <w:r w:rsidRPr="00FB47D9">
        <w:rPr>
          <w:rFonts w:ascii="仿宋_GB2312" w:eastAsia="仿宋_GB2312" w:hint="eastAsia"/>
          <w:bCs/>
          <w:sz w:val="32"/>
          <w:szCs w:val="32"/>
        </w:rPr>
        <w:t>教育中心总体协调选定，经学院学位</w:t>
      </w:r>
      <w:proofErr w:type="gramStart"/>
      <w:r w:rsidRPr="00FB47D9">
        <w:rPr>
          <w:rFonts w:ascii="仿宋_GB2312" w:eastAsia="仿宋_GB2312" w:hint="eastAsia"/>
          <w:bCs/>
          <w:sz w:val="32"/>
          <w:szCs w:val="32"/>
        </w:rPr>
        <w:t>评定分</w:t>
      </w:r>
      <w:proofErr w:type="gramEnd"/>
      <w:r w:rsidRPr="00FB47D9">
        <w:rPr>
          <w:rFonts w:ascii="仿宋_GB2312" w:eastAsia="仿宋_GB2312" w:hint="eastAsia"/>
          <w:bCs/>
          <w:sz w:val="32"/>
          <w:szCs w:val="32"/>
        </w:rPr>
        <w:t>委员会审批确定。</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研究生要主动加强与导师组的联系。导师要加强对研究生学位论文工作的指导，定期或不定期检查指导研究生学习和学位论文研究进展并记录指导情况。</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t>五、学位论文评审</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1．研究生在完成学位论文撰写工作后，提交导师进行审阅和修改，导师同意方可付印并提交学院，由学院组织同行专家进行评审。</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2．学位论文评审一般聘请2名具有高级职称的专家进行匿名评审，其中校外实务部门专家至少1名。</w:t>
      </w:r>
      <w:r w:rsidRPr="00FB47D9">
        <w:rPr>
          <w:rFonts w:ascii="仿宋_GB2312" w:eastAsia="仿宋_GB2312"/>
          <w:bCs/>
          <w:sz w:val="32"/>
          <w:szCs w:val="32"/>
        </w:rPr>
        <w:t>申请人导师不</w:t>
      </w:r>
      <w:r w:rsidRPr="00FB47D9">
        <w:rPr>
          <w:rFonts w:ascii="仿宋_GB2312" w:eastAsia="仿宋_GB2312" w:hint="eastAsia"/>
          <w:bCs/>
          <w:sz w:val="32"/>
          <w:szCs w:val="32"/>
        </w:rPr>
        <w:t>可</w:t>
      </w:r>
      <w:r w:rsidRPr="00FB47D9">
        <w:rPr>
          <w:rFonts w:ascii="仿宋_GB2312" w:eastAsia="仿宋_GB2312"/>
          <w:bCs/>
          <w:sz w:val="32"/>
          <w:szCs w:val="32"/>
        </w:rPr>
        <w:t>作为论文评</w:t>
      </w:r>
      <w:r w:rsidRPr="00FB47D9">
        <w:rPr>
          <w:rFonts w:ascii="仿宋_GB2312" w:eastAsia="仿宋_GB2312" w:hint="eastAsia"/>
          <w:bCs/>
          <w:sz w:val="32"/>
          <w:szCs w:val="32"/>
        </w:rPr>
        <w:t>审</w:t>
      </w:r>
      <w:r w:rsidRPr="00FB47D9">
        <w:rPr>
          <w:rFonts w:ascii="仿宋_GB2312" w:eastAsia="仿宋_GB2312"/>
          <w:bCs/>
          <w:sz w:val="32"/>
          <w:szCs w:val="32"/>
        </w:rPr>
        <w:t>人。</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3．当1位评审专家对论文持否定意见时，由学院学位</w:t>
      </w:r>
      <w:proofErr w:type="gramStart"/>
      <w:r w:rsidRPr="00FB47D9">
        <w:rPr>
          <w:rFonts w:ascii="仿宋_GB2312" w:eastAsia="仿宋_GB2312" w:hint="eastAsia"/>
          <w:bCs/>
          <w:sz w:val="32"/>
          <w:szCs w:val="32"/>
        </w:rPr>
        <w:t>评定分</w:t>
      </w:r>
      <w:proofErr w:type="gramEnd"/>
      <w:r w:rsidRPr="00FB47D9">
        <w:rPr>
          <w:rFonts w:ascii="仿宋_GB2312" w:eastAsia="仿宋_GB2312" w:hint="eastAsia"/>
          <w:bCs/>
          <w:sz w:val="32"/>
          <w:szCs w:val="32"/>
        </w:rPr>
        <w:t>委员会审核，论文进行修改后，应增聘1名重新评审；当2位评审专家均持否定意见时，本次评审不通过。</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t>六、学位论文答辩</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lastRenderedPageBreak/>
        <w:t>1．学位论文通过评审后，研究生应及时向学院提交论文答辩申请书，答辩由学院统一组织。</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2．学位论文答辩委员会由5名本领域具有高级职称的专家组成，其中至少1名来自于实务部门，3名为硕士生导师。申请人的导师不能作为答辩委员会成员。</w:t>
      </w:r>
      <w:r w:rsidRPr="00FB47D9">
        <w:rPr>
          <w:rFonts w:ascii="仿宋_GB2312" w:eastAsia="仿宋_GB2312"/>
          <w:bCs/>
          <w:sz w:val="32"/>
          <w:szCs w:val="32"/>
        </w:rPr>
        <w:t>答辩委员会的组成</w:t>
      </w:r>
      <w:r w:rsidRPr="00FB47D9">
        <w:rPr>
          <w:rFonts w:ascii="仿宋_GB2312" w:eastAsia="仿宋_GB2312" w:hint="eastAsia"/>
          <w:bCs/>
          <w:sz w:val="32"/>
          <w:szCs w:val="32"/>
        </w:rPr>
        <w:t>名单</w:t>
      </w:r>
      <w:r w:rsidRPr="00FB47D9">
        <w:rPr>
          <w:rFonts w:ascii="仿宋_GB2312" w:eastAsia="仿宋_GB2312"/>
          <w:bCs/>
          <w:sz w:val="32"/>
          <w:szCs w:val="32"/>
        </w:rPr>
        <w:t>应</w:t>
      </w:r>
      <w:r w:rsidRPr="00FB47D9">
        <w:rPr>
          <w:rFonts w:ascii="仿宋_GB2312" w:eastAsia="仿宋_GB2312" w:hint="eastAsia"/>
          <w:bCs/>
          <w:sz w:val="32"/>
          <w:szCs w:val="32"/>
        </w:rPr>
        <w:t>提前一周上报学院，经学院</w:t>
      </w:r>
      <w:r w:rsidRPr="00FB47D9">
        <w:rPr>
          <w:rFonts w:ascii="仿宋_GB2312" w:eastAsia="仿宋_GB2312"/>
          <w:bCs/>
          <w:sz w:val="32"/>
          <w:szCs w:val="32"/>
        </w:rPr>
        <w:t>学位</w:t>
      </w:r>
      <w:proofErr w:type="gramStart"/>
      <w:r w:rsidRPr="00FB47D9">
        <w:rPr>
          <w:rFonts w:ascii="仿宋_GB2312" w:eastAsia="仿宋_GB2312"/>
          <w:bCs/>
          <w:sz w:val="32"/>
          <w:szCs w:val="32"/>
        </w:rPr>
        <w:t>评定</w:t>
      </w:r>
      <w:r w:rsidRPr="00FB47D9">
        <w:rPr>
          <w:rFonts w:ascii="仿宋_GB2312" w:eastAsia="仿宋_GB2312" w:hint="eastAsia"/>
          <w:bCs/>
          <w:sz w:val="32"/>
          <w:szCs w:val="32"/>
        </w:rPr>
        <w:t>分</w:t>
      </w:r>
      <w:proofErr w:type="gramEnd"/>
      <w:r w:rsidRPr="00FB47D9">
        <w:rPr>
          <w:rFonts w:ascii="仿宋_GB2312" w:eastAsia="仿宋_GB2312" w:hint="eastAsia"/>
          <w:bCs/>
          <w:sz w:val="32"/>
          <w:szCs w:val="32"/>
        </w:rPr>
        <w:t>委员会审批同意后，上报学校学位办公室备案</w:t>
      </w:r>
      <w:r w:rsidRPr="00FB47D9">
        <w:rPr>
          <w:rFonts w:ascii="仿宋_GB2312" w:eastAsia="仿宋_GB2312"/>
          <w:bCs/>
          <w:sz w:val="32"/>
          <w:szCs w:val="32"/>
        </w:rPr>
        <w:t>。</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3．具体答辩程序：</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（1）</w:t>
      </w:r>
      <w:r w:rsidRPr="00FB47D9">
        <w:rPr>
          <w:rFonts w:ascii="仿宋_GB2312" w:eastAsia="仿宋_GB2312"/>
          <w:bCs/>
          <w:sz w:val="32"/>
          <w:szCs w:val="32"/>
        </w:rPr>
        <w:t>答辩委员会主席宣布开会</w:t>
      </w:r>
      <w:r w:rsidRPr="00FB47D9">
        <w:rPr>
          <w:rFonts w:ascii="仿宋_GB2312" w:eastAsia="仿宋_GB2312" w:hint="eastAsia"/>
          <w:bCs/>
          <w:sz w:val="32"/>
          <w:szCs w:val="32"/>
        </w:rPr>
        <w:t>。</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（2）答辩人</w:t>
      </w:r>
      <w:r w:rsidRPr="00FB47D9">
        <w:rPr>
          <w:rFonts w:ascii="仿宋_GB2312" w:eastAsia="仿宋_GB2312"/>
          <w:bCs/>
          <w:sz w:val="32"/>
          <w:szCs w:val="32"/>
        </w:rPr>
        <w:t>报告论文主要内容，重点介绍</w:t>
      </w:r>
      <w:r w:rsidRPr="00FB47D9">
        <w:rPr>
          <w:rFonts w:ascii="仿宋_GB2312" w:eastAsia="仿宋_GB2312" w:hint="eastAsia"/>
          <w:bCs/>
          <w:sz w:val="32"/>
          <w:szCs w:val="32"/>
        </w:rPr>
        <w:t>具体研究问题、主要</w:t>
      </w:r>
      <w:r w:rsidRPr="00FB47D9">
        <w:rPr>
          <w:rFonts w:ascii="仿宋_GB2312" w:eastAsia="仿宋_GB2312"/>
          <w:bCs/>
          <w:sz w:val="32"/>
          <w:szCs w:val="32"/>
        </w:rPr>
        <w:t>观点、</w:t>
      </w:r>
      <w:r w:rsidRPr="00FB47D9">
        <w:rPr>
          <w:rFonts w:ascii="仿宋_GB2312" w:eastAsia="仿宋_GB2312" w:hint="eastAsia"/>
          <w:bCs/>
          <w:sz w:val="32"/>
          <w:szCs w:val="32"/>
        </w:rPr>
        <w:t>独创性工作，时间为25</w:t>
      </w:r>
      <w:r w:rsidRPr="00FB47D9">
        <w:rPr>
          <w:rFonts w:ascii="仿宋_GB2312" w:eastAsia="仿宋_GB2312"/>
          <w:bCs/>
          <w:sz w:val="32"/>
          <w:szCs w:val="32"/>
        </w:rPr>
        <w:t>分钟</w:t>
      </w:r>
      <w:r w:rsidRPr="00FB47D9">
        <w:rPr>
          <w:rFonts w:ascii="仿宋_GB2312" w:eastAsia="仿宋_GB2312" w:hint="eastAsia"/>
          <w:bCs/>
          <w:sz w:val="32"/>
          <w:szCs w:val="32"/>
        </w:rPr>
        <w:t>左右。</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（3）答辩人宣读《学位论文独创性声明》。</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（4）</w:t>
      </w:r>
      <w:r w:rsidRPr="00FB47D9">
        <w:rPr>
          <w:rFonts w:ascii="仿宋_GB2312" w:eastAsia="仿宋_GB2312"/>
          <w:bCs/>
          <w:sz w:val="32"/>
          <w:szCs w:val="32"/>
        </w:rPr>
        <w:t>答辩委员会</w:t>
      </w:r>
      <w:r w:rsidRPr="00FB47D9">
        <w:rPr>
          <w:rFonts w:ascii="仿宋_GB2312" w:eastAsia="仿宋_GB2312" w:hint="eastAsia"/>
          <w:bCs/>
          <w:sz w:val="32"/>
          <w:szCs w:val="32"/>
        </w:rPr>
        <w:t>成员</w:t>
      </w:r>
      <w:r w:rsidRPr="00FB47D9">
        <w:rPr>
          <w:rFonts w:ascii="仿宋_GB2312" w:eastAsia="仿宋_GB2312"/>
          <w:bCs/>
          <w:sz w:val="32"/>
          <w:szCs w:val="32"/>
        </w:rPr>
        <w:t>提问，</w:t>
      </w:r>
      <w:r w:rsidRPr="00FB47D9">
        <w:rPr>
          <w:rFonts w:ascii="仿宋_GB2312" w:eastAsia="仿宋_GB2312" w:hint="eastAsia"/>
          <w:bCs/>
          <w:sz w:val="32"/>
          <w:szCs w:val="32"/>
        </w:rPr>
        <w:t>答辩人回答问题。</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（5）</w:t>
      </w:r>
      <w:r w:rsidRPr="00FB47D9">
        <w:rPr>
          <w:rFonts w:ascii="仿宋_GB2312" w:eastAsia="仿宋_GB2312"/>
          <w:bCs/>
          <w:sz w:val="32"/>
          <w:szCs w:val="32"/>
        </w:rPr>
        <w:t>答辩委员会举行会议，</w:t>
      </w:r>
      <w:r w:rsidRPr="00FB47D9">
        <w:rPr>
          <w:rFonts w:ascii="仿宋_GB2312" w:eastAsia="仿宋_GB2312" w:hint="eastAsia"/>
          <w:bCs/>
          <w:sz w:val="32"/>
          <w:szCs w:val="32"/>
        </w:rPr>
        <w:t>其他人暂时休会回避，会议内容包括：</w:t>
      </w:r>
      <w:r w:rsidRPr="00FB47D9">
        <w:rPr>
          <w:rFonts w:ascii="仿宋_GB2312" w:eastAsia="仿宋_GB2312"/>
          <w:bCs/>
          <w:sz w:val="32"/>
          <w:szCs w:val="32"/>
        </w:rPr>
        <w:t>宣读导师和评阅人的学术评语</w:t>
      </w:r>
      <w:r w:rsidRPr="00FB47D9">
        <w:rPr>
          <w:rFonts w:ascii="仿宋_GB2312" w:eastAsia="仿宋_GB2312" w:hint="eastAsia"/>
          <w:bCs/>
          <w:sz w:val="32"/>
          <w:szCs w:val="32"/>
        </w:rPr>
        <w:t>；</w:t>
      </w:r>
      <w:r w:rsidRPr="00FB47D9">
        <w:rPr>
          <w:rFonts w:ascii="仿宋_GB2312" w:eastAsia="仿宋_GB2312"/>
          <w:bCs/>
          <w:sz w:val="32"/>
          <w:szCs w:val="32"/>
        </w:rPr>
        <w:t>对论文及论文答辩进行评议，以无记名投票方式对论文是否合格和</w:t>
      </w:r>
      <w:r w:rsidRPr="00FB47D9">
        <w:rPr>
          <w:rFonts w:ascii="仿宋_GB2312" w:eastAsia="仿宋_GB2312" w:hint="eastAsia"/>
          <w:bCs/>
          <w:sz w:val="32"/>
          <w:szCs w:val="32"/>
        </w:rPr>
        <w:t>建议</w:t>
      </w:r>
      <w:r w:rsidRPr="00FB47D9">
        <w:rPr>
          <w:rFonts w:ascii="仿宋_GB2312" w:eastAsia="仿宋_GB2312"/>
          <w:bCs/>
          <w:sz w:val="32"/>
          <w:szCs w:val="32"/>
        </w:rPr>
        <w:t>是否授予学位进行表决</w:t>
      </w:r>
      <w:r w:rsidRPr="00FB47D9">
        <w:rPr>
          <w:rFonts w:ascii="仿宋_GB2312" w:eastAsia="仿宋_GB2312" w:hint="eastAsia"/>
          <w:bCs/>
          <w:sz w:val="32"/>
          <w:szCs w:val="32"/>
        </w:rPr>
        <w:t>；讨论通过答辩委员会决议书。</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（6）复会，</w:t>
      </w:r>
      <w:r w:rsidRPr="00FB47D9">
        <w:rPr>
          <w:rFonts w:ascii="仿宋_GB2312" w:eastAsia="仿宋_GB2312"/>
          <w:bCs/>
          <w:sz w:val="32"/>
          <w:szCs w:val="32"/>
        </w:rPr>
        <w:t>答辩委员会主席</w:t>
      </w:r>
      <w:r w:rsidRPr="00FB47D9">
        <w:rPr>
          <w:rFonts w:ascii="仿宋_GB2312" w:eastAsia="仿宋_GB2312" w:hint="eastAsia"/>
          <w:bCs/>
          <w:sz w:val="32"/>
          <w:szCs w:val="32"/>
        </w:rPr>
        <w:t>向答辩人</w:t>
      </w:r>
      <w:r w:rsidRPr="00FB47D9">
        <w:rPr>
          <w:rFonts w:ascii="仿宋_GB2312" w:eastAsia="仿宋_GB2312"/>
          <w:bCs/>
          <w:sz w:val="32"/>
          <w:szCs w:val="32"/>
        </w:rPr>
        <w:t>宣布答辩委员会决议和表决结果</w:t>
      </w:r>
      <w:r w:rsidRPr="00FB47D9">
        <w:rPr>
          <w:rFonts w:ascii="仿宋_GB2312" w:eastAsia="仿宋_GB2312" w:hint="eastAsia"/>
          <w:bCs/>
          <w:sz w:val="32"/>
          <w:szCs w:val="32"/>
        </w:rPr>
        <w:t>。</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（7）答辩会结束</w:t>
      </w:r>
      <w:r w:rsidRPr="00FB47D9">
        <w:rPr>
          <w:rFonts w:ascii="仿宋_GB2312" w:eastAsia="仿宋_GB2312"/>
          <w:bCs/>
          <w:sz w:val="32"/>
          <w:szCs w:val="32"/>
        </w:rPr>
        <w:t>。</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4．</w:t>
      </w:r>
      <w:r w:rsidRPr="00FB47D9">
        <w:rPr>
          <w:rFonts w:ascii="仿宋_GB2312" w:eastAsia="仿宋_GB2312"/>
          <w:bCs/>
          <w:sz w:val="32"/>
          <w:szCs w:val="32"/>
        </w:rPr>
        <w:t>答辩委员会就是否</w:t>
      </w:r>
      <w:r w:rsidRPr="00FB47D9">
        <w:rPr>
          <w:rFonts w:ascii="仿宋_GB2312" w:eastAsia="仿宋_GB2312" w:hint="eastAsia"/>
          <w:bCs/>
          <w:sz w:val="32"/>
          <w:szCs w:val="32"/>
        </w:rPr>
        <w:t>通过论文答辩和是否</w:t>
      </w:r>
      <w:r w:rsidRPr="00FB47D9">
        <w:rPr>
          <w:rFonts w:ascii="仿宋_GB2312" w:eastAsia="仿宋_GB2312"/>
          <w:bCs/>
          <w:sz w:val="32"/>
          <w:szCs w:val="32"/>
        </w:rPr>
        <w:t>建议授予</w:t>
      </w:r>
      <w:r w:rsidRPr="00FB47D9">
        <w:rPr>
          <w:rFonts w:ascii="仿宋_GB2312" w:eastAsia="仿宋_GB2312" w:hint="eastAsia"/>
          <w:bCs/>
          <w:sz w:val="32"/>
          <w:szCs w:val="32"/>
        </w:rPr>
        <w:t>答辩人会计</w:t>
      </w:r>
      <w:r w:rsidRPr="00FB47D9">
        <w:rPr>
          <w:rFonts w:ascii="仿宋_GB2312" w:eastAsia="仿宋_GB2312"/>
          <w:bCs/>
          <w:sz w:val="32"/>
          <w:szCs w:val="32"/>
        </w:rPr>
        <w:t>硕士学位</w:t>
      </w:r>
      <w:r w:rsidRPr="00FB47D9">
        <w:rPr>
          <w:rFonts w:ascii="仿宋_GB2312" w:eastAsia="仿宋_GB2312" w:hint="eastAsia"/>
          <w:bCs/>
          <w:sz w:val="32"/>
          <w:szCs w:val="32"/>
        </w:rPr>
        <w:t>做出</w:t>
      </w:r>
      <w:r w:rsidRPr="00FB47D9">
        <w:rPr>
          <w:rFonts w:ascii="仿宋_GB2312" w:eastAsia="仿宋_GB2312"/>
          <w:bCs/>
          <w:sz w:val="32"/>
          <w:szCs w:val="32"/>
        </w:rPr>
        <w:t>决议。决议采取不记名投票方式，经全体成员</w:t>
      </w:r>
      <w:r w:rsidRPr="00FB47D9">
        <w:rPr>
          <w:rFonts w:ascii="仿宋_GB2312" w:eastAsia="仿宋_GB2312" w:hint="eastAsia"/>
          <w:bCs/>
          <w:sz w:val="32"/>
          <w:szCs w:val="32"/>
        </w:rPr>
        <w:t>4</w:t>
      </w:r>
      <w:r w:rsidRPr="00FB47D9">
        <w:rPr>
          <w:rFonts w:ascii="仿宋_GB2312" w:eastAsia="仿宋_GB2312"/>
          <w:bCs/>
          <w:sz w:val="32"/>
          <w:szCs w:val="32"/>
        </w:rPr>
        <w:t>/</w:t>
      </w:r>
      <w:r w:rsidRPr="00FB47D9">
        <w:rPr>
          <w:rFonts w:ascii="仿宋_GB2312" w:eastAsia="仿宋_GB2312" w:hint="eastAsia"/>
          <w:bCs/>
          <w:sz w:val="32"/>
          <w:szCs w:val="32"/>
        </w:rPr>
        <w:t>5</w:t>
      </w:r>
      <w:r w:rsidRPr="00FB47D9">
        <w:rPr>
          <w:rFonts w:ascii="仿宋_GB2312" w:eastAsia="仿宋_GB2312"/>
          <w:bCs/>
          <w:sz w:val="32"/>
          <w:szCs w:val="32"/>
        </w:rPr>
        <w:t>以上同意，方为通过。</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bCs/>
          <w:sz w:val="32"/>
          <w:szCs w:val="32"/>
        </w:rPr>
        <w:lastRenderedPageBreak/>
        <w:t>论文答辩未通过，本次学位申请无效。论文答辩未通过但论文答辩委员会做出决议，建议申请人修改论文后再重新答辩者，可在半年后至一年内重新申请答辩一次，逾期未申请或答辩仍未通过者，学位申请无效。</w:t>
      </w:r>
    </w:p>
    <w:p w:rsidR="00F128F6" w:rsidRPr="00FB47D9" w:rsidRDefault="00F128F6" w:rsidP="00F128F6">
      <w:pPr>
        <w:spacing w:line="600" w:lineRule="exact"/>
        <w:ind w:firstLineChars="200" w:firstLine="640"/>
        <w:outlineLvl w:val="0"/>
        <w:rPr>
          <w:rFonts w:ascii="黑体" w:eastAsia="黑体" w:hAnsi="黑体"/>
          <w:bCs/>
          <w:sz w:val="32"/>
          <w:szCs w:val="32"/>
        </w:rPr>
      </w:pPr>
      <w:r w:rsidRPr="00FB47D9">
        <w:rPr>
          <w:rFonts w:ascii="黑体" w:eastAsia="黑体" w:hAnsi="黑体" w:hint="eastAsia"/>
          <w:bCs/>
          <w:sz w:val="32"/>
          <w:szCs w:val="32"/>
        </w:rPr>
        <w:t>七、学位申请</w:t>
      </w:r>
    </w:p>
    <w:p w:rsidR="00F128F6" w:rsidRPr="00FB47D9" w:rsidRDefault="00F128F6" w:rsidP="00F128F6">
      <w:pPr>
        <w:spacing w:line="600" w:lineRule="exact"/>
        <w:ind w:firstLineChars="200" w:firstLine="640"/>
        <w:outlineLvl w:val="0"/>
        <w:rPr>
          <w:rFonts w:ascii="仿宋_GB2312" w:eastAsia="仿宋_GB2312"/>
          <w:bCs/>
          <w:sz w:val="32"/>
          <w:szCs w:val="32"/>
        </w:rPr>
      </w:pPr>
      <w:r w:rsidRPr="00FB47D9">
        <w:rPr>
          <w:rFonts w:ascii="仿宋_GB2312" w:eastAsia="仿宋_GB2312" w:hint="eastAsia"/>
          <w:bCs/>
          <w:sz w:val="32"/>
          <w:szCs w:val="32"/>
        </w:rPr>
        <w:t>修满规定学分、满足学位申请的其他要求</w:t>
      </w:r>
      <w:r w:rsidRPr="00FB47D9">
        <w:rPr>
          <w:rFonts w:ascii="仿宋_GB2312" w:eastAsia="仿宋_GB2312"/>
          <w:bCs/>
          <w:sz w:val="32"/>
          <w:szCs w:val="32"/>
        </w:rPr>
        <w:t>并</w:t>
      </w:r>
      <w:r w:rsidRPr="00FB47D9">
        <w:rPr>
          <w:rFonts w:ascii="仿宋_GB2312" w:eastAsia="仿宋_GB2312" w:hint="eastAsia"/>
          <w:bCs/>
          <w:sz w:val="32"/>
          <w:szCs w:val="32"/>
        </w:rPr>
        <w:t>且</w:t>
      </w:r>
      <w:r w:rsidRPr="00FB47D9">
        <w:rPr>
          <w:rFonts w:ascii="仿宋_GB2312" w:eastAsia="仿宋_GB2312"/>
          <w:bCs/>
          <w:sz w:val="32"/>
          <w:szCs w:val="32"/>
        </w:rPr>
        <w:t>通过</w:t>
      </w:r>
      <w:r w:rsidRPr="00FB47D9">
        <w:rPr>
          <w:rFonts w:ascii="仿宋_GB2312" w:eastAsia="仿宋_GB2312" w:hint="eastAsia"/>
          <w:bCs/>
          <w:sz w:val="32"/>
          <w:szCs w:val="32"/>
        </w:rPr>
        <w:t>学位论文</w:t>
      </w:r>
      <w:r w:rsidRPr="00FB47D9">
        <w:rPr>
          <w:rFonts w:ascii="仿宋_GB2312" w:eastAsia="仿宋_GB2312"/>
          <w:bCs/>
          <w:sz w:val="32"/>
          <w:szCs w:val="32"/>
        </w:rPr>
        <w:t>答辩者，可申请</w:t>
      </w:r>
      <w:r w:rsidRPr="00FB47D9">
        <w:rPr>
          <w:rFonts w:ascii="仿宋_GB2312" w:eastAsia="仿宋_GB2312" w:hint="eastAsia"/>
          <w:bCs/>
          <w:sz w:val="32"/>
          <w:szCs w:val="32"/>
        </w:rPr>
        <w:t>授予</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专业</w:t>
      </w:r>
      <w:r w:rsidRPr="00FB47D9">
        <w:rPr>
          <w:rFonts w:ascii="仿宋_GB2312" w:eastAsia="仿宋_GB2312"/>
          <w:bCs/>
          <w:sz w:val="32"/>
          <w:szCs w:val="32"/>
        </w:rPr>
        <w:t>学位。</w:t>
      </w:r>
    </w:p>
    <w:p w:rsidR="00F128F6" w:rsidRPr="00FB47D9" w:rsidRDefault="00F128F6" w:rsidP="00F128F6">
      <w:pPr>
        <w:widowControl/>
        <w:spacing w:line="600" w:lineRule="exact"/>
        <w:ind w:firstLineChars="177" w:firstLine="566"/>
        <w:jc w:val="left"/>
        <w:rPr>
          <w:rFonts w:ascii="宋体" w:hAnsi="宋体" w:cs="宋体"/>
          <w:kern w:val="0"/>
          <w:sz w:val="32"/>
          <w:szCs w:val="32"/>
        </w:rPr>
      </w:pPr>
    </w:p>
    <w:p w:rsidR="00F128F6" w:rsidRPr="00FB47D9" w:rsidRDefault="00F128F6" w:rsidP="00F128F6">
      <w:pPr>
        <w:widowControl/>
        <w:spacing w:line="600" w:lineRule="exact"/>
        <w:ind w:leftChars="304" w:left="2078" w:hangingChars="450" w:hanging="1440"/>
        <w:rPr>
          <w:rFonts w:ascii="仿宋_GB2312" w:eastAsia="仿宋_GB2312"/>
          <w:bCs/>
          <w:sz w:val="32"/>
          <w:szCs w:val="32"/>
        </w:rPr>
      </w:pPr>
      <w:r w:rsidRPr="00FB47D9">
        <w:rPr>
          <w:rFonts w:ascii="仿宋_GB2312" w:eastAsia="仿宋_GB2312" w:hint="eastAsia"/>
          <w:bCs/>
          <w:sz w:val="32"/>
          <w:szCs w:val="32"/>
        </w:rPr>
        <w:t>附件：1. 会计硕士（</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）专业学位论文质量评审表（案       例分析类）</w:t>
      </w:r>
    </w:p>
    <w:p w:rsidR="00F128F6" w:rsidRPr="00FB47D9" w:rsidRDefault="00F128F6" w:rsidP="00F128F6">
      <w:pPr>
        <w:widowControl/>
        <w:spacing w:line="600" w:lineRule="exact"/>
        <w:ind w:leftChars="760" w:left="2076" w:hangingChars="150" w:hanging="480"/>
        <w:rPr>
          <w:rFonts w:ascii="仿宋_GB2312" w:eastAsia="仿宋_GB2312"/>
          <w:bCs/>
          <w:sz w:val="32"/>
          <w:szCs w:val="32"/>
        </w:rPr>
      </w:pPr>
      <w:r w:rsidRPr="00FB47D9">
        <w:rPr>
          <w:rFonts w:ascii="仿宋_GB2312" w:eastAsia="仿宋_GB2312" w:hint="eastAsia"/>
          <w:bCs/>
          <w:sz w:val="32"/>
          <w:szCs w:val="32"/>
        </w:rPr>
        <w:t>2．会计硕士（</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）专业学位论文质量评审表（调研报告类）</w:t>
      </w:r>
    </w:p>
    <w:p w:rsidR="00F128F6" w:rsidRPr="00FB47D9" w:rsidRDefault="00F128F6" w:rsidP="00F128F6">
      <w:pPr>
        <w:widowControl/>
        <w:spacing w:line="600" w:lineRule="exact"/>
        <w:ind w:leftChars="760" w:left="2076" w:hangingChars="150" w:hanging="480"/>
        <w:rPr>
          <w:rFonts w:ascii="仿宋_GB2312" w:eastAsia="仿宋_GB2312"/>
          <w:bCs/>
          <w:sz w:val="32"/>
          <w:szCs w:val="32"/>
        </w:rPr>
      </w:pPr>
      <w:r w:rsidRPr="00FB47D9">
        <w:rPr>
          <w:rFonts w:ascii="仿宋_GB2312" w:eastAsia="仿宋_GB2312" w:hint="eastAsia"/>
          <w:bCs/>
          <w:sz w:val="32"/>
          <w:szCs w:val="32"/>
        </w:rPr>
        <w:t>3．会计硕士（</w:t>
      </w:r>
      <w:proofErr w:type="spellStart"/>
      <w:r w:rsidRPr="00FB47D9">
        <w:rPr>
          <w:rFonts w:ascii="仿宋_GB2312" w:eastAsia="仿宋_GB2312" w:hint="eastAsia"/>
          <w:bCs/>
          <w:sz w:val="32"/>
          <w:szCs w:val="32"/>
        </w:rPr>
        <w:t>MPAcc</w:t>
      </w:r>
      <w:proofErr w:type="spellEnd"/>
      <w:r w:rsidRPr="00FB47D9">
        <w:rPr>
          <w:rFonts w:ascii="仿宋_GB2312" w:eastAsia="仿宋_GB2312" w:hint="eastAsia"/>
          <w:bCs/>
          <w:sz w:val="32"/>
          <w:szCs w:val="32"/>
        </w:rPr>
        <w:t>）专业学位论文质量评审表（专题研究类）</w:t>
      </w:r>
    </w:p>
    <w:p w:rsidR="00F128F6" w:rsidRPr="00FB47D9" w:rsidRDefault="00F128F6" w:rsidP="00F128F6">
      <w:pPr>
        <w:widowControl/>
        <w:spacing w:line="600" w:lineRule="exact"/>
        <w:ind w:firstLineChars="200" w:firstLine="640"/>
        <w:rPr>
          <w:rFonts w:ascii="仿宋_GB2312" w:eastAsia="仿宋_GB2312"/>
          <w:bCs/>
          <w:sz w:val="32"/>
          <w:szCs w:val="32"/>
        </w:rPr>
      </w:pPr>
    </w:p>
    <w:p w:rsidR="00F128F6" w:rsidRPr="00FB47D9" w:rsidRDefault="00F128F6" w:rsidP="00F128F6">
      <w:pPr>
        <w:widowControl/>
        <w:spacing w:line="600" w:lineRule="exact"/>
        <w:ind w:firstLineChars="200" w:firstLine="640"/>
        <w:rPr>
          <w:rFonts w:ascii="仿宋_GB2312" w:eastAsia="仿宋_GB2312"/>
          <w:bCs/>
          <w:sz w:val="32"/>
          <w:szCs w:val="32"/>
        </w:rPr>
      </w:pPr>
    </w:p>
    <w:p w:rsidR="00F128F6" w:rsidRPr="00FB47D9" w:rsidRDefault="00F128F6" w:rsidP="00F128F6">
      <w:pPr>
        <w:widowControl/>
        <w:spacing w:line="600" w:lineRule="exact"/>
        <w:ind w:firstLineChars="200" w:firstLine="640"/>
        <w:rPr>
          <w:rFonts w:ascii="仿宋_GB2312" w:eastAsia="仿宋_GB2312"/>
          <w:bCs/>
          <w:sz w:val="32"/>
          <w:szCs w:val="32"/>
        </w:rPr>
      </w:pPr>
    </w:p>
    <w:p w:rsidR="00F128F6" w:rsidRPr="00FB47D9" w:rsidRDefault="00F128F6" w:rsidP="00F128F6">
      <w:pPr>
        <w:widowControl/>
        <w:spacing w:line="600" w:lineRule="exact"/>
        <w:ind w:firstLineChars="177" w:firstLine="566"/>
        <w:jc w:val="left"/>
        <w:rPr>
          <w:rFonts w:ascii="宋体" w:hAnsi="宋体" w:cs="宋体"/>
          <w:kern w:val="0"/>
          <w:sz w:val="32"/>
          <w:szCs w:val="32"/>
        </w:rPr>
      </w:pPr>
    </w:p>
    <w:p w:rsidR="00F128F6" w:rsidRPr="00FB47D9" w:rsidRDefault="00F128F6" w:rsidP="00F128F6">
      <w:pPr>
        <w:widowControl/>
        <w:spacing w:line="600" w:lineRule="exact"/>
        <w:ind w:firstLineChars="177" w:firstLine="566"/>
        <w:jc w:val="left"/>
        <w:rPr>
          <w:rFonts w:ascii="宋体" w:hAnsi="宋体" w:cs="宋体"/>
          <w:kern w:val="0"/>
          <w:sz w:val="32"/>
          <w:szCs w:val="32"/>
        </w:rPr>
      </w:pPr>
    </w:p>
    <w:p w:rsidR="00F128F6" w:rsidRPr="00FB47D9" w:rsidRDefault="00F128F6" w:rsidP="00F128F6">
      <w:pPr>
        <w:widowControl/>
        <w:spacing w:line="600" w:lineRule="exact"/>
        <w:ind w:firstLineChars="177" w:firstLine="566"/>
        <w:jc w:val="left"/>
        <w:rPr>
          <w:rFonts w:ascii="宋体" w:hAnsi="宋体" w:cs="宋体"/>
          <w:kern w:val="0"/>
          <w:sz w:val="32"/>
          <w:szCs w:val="32"/>
        </w:rPr>
      </w:pPr>
    </w:p>
    <w:p w:rsidR="00F128F6" w:rsidRPr="00FB47D9" w:rsidRDefault="00F128F6" w:rsidP="00F128F6">
      <w:pPr>
        <w:widowControl/>
        <w:spacing w:line="600" w:lineRule="exact"/>
        <w:ind w:firstLineChars="177" w:firstLine="566"/>
        <w:jc w:val="left"/>
        <w:rPr>
          <w:rFonts w:ascii="宋体" w:hAnsi="宋体" w:cs="宋体"/>
          <w:kern w:val="0"/>
          <w:sz w:val="32"/>
          <w:szCs w:val="32"/>
        </w:rPr>
      </w:pPr>
    </w:p>
    <w:p w:rsidR="00F128F6" w:rsidRPr="00FB47D9" w:rsidRDefault="00F128F6" w:rsidP="00F128F6">
      <w:pPr>
        <w:widowControl/>
        <w:spacing w:line="600" w:lineRule="exact"/>
        <w:jc w:val="left"/>
        <w:rPr>
          <w:rFonts w:ascii="黑体" w:eastAsia="黑体" w:hAnsi="宋体"/>
          <w:color w:val="333333"/>
          <w:kern w:val="0"/>
          <w:sz w:val="32"/>
          <w:szCs w:val="32"/>
        </w:rPr>
      </w:pPr>
      <w:r w:rsidRPr="00FB47D9">
        <w:rPr>
          <w:rFonts w:ascii="宋体" w:hAnsi="宋体" w:cs="宋体"/>
          <w:kern w:val="0"/>
          <w:sz w:val="24"/>
          <w:szCs w:val="24"/>
        </w:rPr>
        <w:br w:type="page"/>
      </w:r>
      <w:r w:rsidRPr="00FB47D9">
        <w:rPr>
          <w:rFonts w:ascii="黑体" w:eastAsia="黑体" w:hAnsi="宋体" w:hint="eastAsia"/>
          <w:color w:val="333333"/>
          <w:kern w:val="0"/>
          <w:sz w:val="32"/>
          <w:szCs w:val="32"/>
        </w:rPr>
        <w:lastRenderedPageBreak/>
        <w:t>附件1</w:t>
      </w:r>
    </w:p>
    <w:p w:rsidR="00F128F6" w:rsidRPr="00FB47D9" w:rsidRDefault="00F128F6" w:rsidP="00F128F6">
      <w:pPr>
        <w:widowControl/>
        <w:spacing w:line="600" w:lineRule="exact"/>
        <w:ind w:firstLine="847"/>
        <w:jc w:val="center"/>
        <w:rPr>
          <w:rFonts w:ascii="华文中宋" w:eastAsia="华文中宋" w:hAnsi="华文中宋"/>
          <w:b/>
          <w:kern w:val="0"/>
          <w:sz w:val="36"/>
          <w:szCs w:val="36"/>
        </w:rPr>
      </w:pPr>
      <w:r w:rsidRPr="00FB47D9">
        <w:rPr>
          <w:rFonts w:ascii="华文中宋" w:eastAsia="华文中宋" w:hAnsi="华文中宋" w:hint="eastAsia"/>
          <w:b/>
          <w:kern w:val="0"/>
          <w:sz w:val="36"/>
          <w:szCs w:val="36"/>
        </w:rPr>
        <w:t>会计硕士（</w:t>
      </w:r>
      <w:proofErr w:type="spellStart"/>
      <w:r w:rsidRPr="00FB47D9">
        <w:rPr>
          <w:rFonts w:ascii="华文中宋" w:eastAsia="华文中宋" w:hAnsi="华文中宋" w:hint="eastAsia"/>
          <w:b/>
          <w:kern w:val="0"/>
          <w:sz w:val="36"/>
          <w:szCs w:val="36"/>
        </w:rPr>
        <w:t>MPAcc</w:t>
      </w:r>
      <w:proofErr w:type="spellEnd"/>
      <w:r w:rsidRPr="00FB47D9">
        <w:rPr>
          <w:rFonts w:ascii="华文中宋" w:eastAsia="华文中宋" w:hAnsi="华文中宋" w:hint="eastAsia"/>
          <w:b/>
          <w:kern w:val="0"/>
          <w:sz w:val="36"/>
          <w:szCs w:val="36"/>
        </w:rPr>
        <w:t>）专业学位论文质量评审表</w:t>
      </w:r>
    </w:p>
    <w:p w:rsidR="00F128F6" w:rsidRPr="00FB47D9" w:rsidRDefault="00F128F6" w:rsidP="00F128F6">
      <w:pPr>
        <w:widowControl/>
        <w:spacing w:line="600" w:lineRule="exact"/>
        <w:jc w:val="center"/>
        <w:rPr>
          <w:rFonts w:ascii="宋体" w:hAnsi="宋体"/>
          <w:kern w:val="0"/>
          <w:sz w:val="28"/>
          <w:szCs w:val="28"/>
        </w:rPr>
      </w:pPr>
      <w:r w:rsidRPr="00FB47D9">
        <w:rPr>
          <w:rFonts w:ascii="宋体" w:hAnsi="宋体" w:hint="eastAsia"/>
          <w:kern w:val="0"/>
          <w:sz w:val="28"/>
          <w:szCs w:val="28"/>
        </w:rPr>
        <w:t>（案例分析类）</w:t>
      </w:r>
    </w:p>
    <w:tbl>
      <w:tblPr>
        <w:tblW w:w="942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123"/>
        <w:gridCol w:w="1468"/>
        <w:gridCol w:w="1399"/>
        <w:gridCol w:w="1158"/>
      </w:tblGrid>
      <w:tr w:rsidR="00F128F6" w:rsidRPr="00FB47D9" w:rsidTr="003C55B1">
        <w:trPr>
          <w:trHeight w:val="578"/>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评价指标</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77" w:firstLine="426"/>
              <w:jc w:val="center"/>
              <w:rPr>
                <w:rFonts w:ascii="宋体" w:hAnsi="宋体" w:cs="宋体"/>
                <w:b/>
                <w:color w:val="000000"/>
                <w:kern w:val="0"/>
                <w:sz w:val="24"/>
                <w:szCs w:val="24"/>
              </w:rPr>
            </w:pPr>
            <w:r w:rsidRPr="00FB47D9">
              <w:rPr>
                <w:rFonts w:ascii="宋体" w:hAnsi="宋体" w:cs="宋体" w:hint="eastAsia"/>
                <w:b/>
                <w:color w:val="000000"/>
                <w:kern w:val="0"/>
                <w:sz w:val="24"/>
                <w:szCs w:val="24"/>
              </w:rPr>
              <w:t>评价要素</w:t>
            </w:r>
          </w:p>
        </w:tc>
        <w:tc>
          <w:tcPr>
            <w:tcW w:w="146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6" w:firstLine="39"/>
              <w:jc w:val="center"/>
              <w:rPr>
                <w:rFonts w:ascii="Calibri" w:hAnsi="Calibri" w:cs="宋体"/>
                <w:b/>
                <w:color w:val="000000"/>
                <w:kern w:val="0"/>
                <w:sz w:val="24"/>
                <w:szCs w:val="24"/>
              </w:rPr>
            </w:pPr>
            <w:r w:rsidRPr="00FB47D9">
              <w:rPr>
                <w:rFonts w:ascii="Calibri" w:hAnsi="Calibri" w:cs="宋体" w:hint="eastAsia"/>
                <w:b/>
                <w:color w:val="000000"/>
                <w:kern w:val="0"/>
                <w:sz w:val="24"/>
                <w:szCs w:val="24"/>
              </w:rPr>
              <w:t>百分制评分</w:t>
            </w: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6" w:firstLine="39"/>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权重系数</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6" w:firstLine="39"/>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加权分</w:t>
            </w:r>
          </w:p>
        </w:tc>
      </w:tr>
      <w:tr w:rsidR="00F128F6" w:rsidRPr="00FB47D9" w:rsidTr="003C55B1">
        <w:trPr>
          <w:trHeight w:val="1324"/>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选题与特色</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选题新颖，来源于会计实务，具有较大的学术或应用价值，能够体现专业类别特点，方向明确，范围适中。</w:t>
            </w:r>
          </w:p>
        </w:tc>
        <w:tc>
          <w:tcPr>
            <w:tcW w:w="1468"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861"/>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宋体" w:hAnsi="宋体" w:cs="宋体"/>
                <w:color w:val="000000"/>
                <w:kern w:val="0"/>
                <w:sz w:val="24"/>
                <w:szCs w:val="22"/>
              </w:rPr>
            </w:pPr>
            <w:r w:rsidRPr="00FB47D9">
              <w:rPr>
                <w:rFonts w:ascii="宋体" w:hAnsi="宋体" w:cs="宋体" w:hint="eastAsia"/>
                <w:color w:val="000000"/>
                <w:kern w:val="0"/>
                <w:sz w:val="24"/>
                <w:szCs w:val="22"/>
              </w:rPr>
              <w:t>案例陈述</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案例客观真实，描述清楚，能够归纳焦点问题，提炼相关理论问题。</w:t>
            </w:r>
          </w:p>
        </w:tc>
        <w:tc>
          <w:tcPr>
            <w:tcW w:w="1468"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858"/>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理论基础</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体现作者具有较强的理论基础，合理的知识结构。</w:t>
            </w:r>
          </w:p>
        </w:tc>
        <w:tc>
          <w:tcPr>
            <w:tcW w:w="1468"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1124"/>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应用能力</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能够灵活运用理论知识，研究难度大，分析方法科学，具有发现问题、分析问题、解决问题能力，成果具有创新性或现实价值。</w:t>
            </w:r>
          </w:p>
        </w:tc>
        <w:tc>
          <w:tcPr>
            <w:tcW w:w="1468"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738"/>
          <w:jc w:val="center"/>
        </w:trPr>
        <w:tc>
          <w:tcPr>
            <w:tcW w:w="1275"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写作水平</w:t>
            </w:r>
          </w:p>
        </w:tc>
        <w:tc>
          <w:tcPr>
            <w:tcW w:w="4123"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文笔流畅，条理清晰，论证严密，重点突出，作风严谨，格式规范。</w:t>
            </w:r>
          </w:p>
        </w:tc>
        <w:tc>
          <w:tcPr>
            <w:tcW w:w="1468"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15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766"/>
          <w:jc w:val="center"/>
        </w:trPr>
        <w:tc>
          <w:tcPr>
            <w:tcW w:w="5398" w:type="dxa"/>
            <w:gridSpan w:val="2"/>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4"/>
              </w:rPr>
            </w:pPr>
            <w:r w:rsidRPr="00FB47D9">
              <w:rPr>
                <w:rFonts w:ascii="Calibri" w:hAnsi="Calibri" w:hint="eastAsia"/>
                <w:sz w:val="24"/>
                <w:szCs w:val="24"/>
              </w:rPr>
              <w:t>综合评价</w:t>
            </w: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bl>
    <w:p w:rsidR="00F128F6" w:rsidRPr="00FB47D9" w:rsidRDefault="00F128F6" w:rsidP="00F128F6">
      <w:pPr>
        <w:widowControl/>
        <w:spacing w:line="360" w:lineRule="exact"/>
        <w:ind w:firstLineChars="200" w:firstLine="420"/>
        <w:jc w:val="left"/>
        <w:rPr>
          <w:rFonts w:ascii="宋体" w:hAnsi="宋体"/>
        </w:rPr>
      </w:pPr>
      <w:r w:rsidRPr="00FB47D9">
        <w:rPr>
          <w:rFonts w:ascii="宋体" w:hAnsi="宋体" w:hint="eastAsia"/>
        </w:rPr>
        <w:t>注：评价结论为优秀、良好、合格、不合格四种。优秀：≥90；良好89～75；合格：74～60；不合格：≤59。</w:t>
      </w:r>
    </w:p>
    <w:p w:rsidR="00F128F6" w:rsidRPr="00FB47D9" w:rsidRDefault="00F128F6" w:rsidP="00F128F6">
      <w:pPr>
        <w:widowControl/>
        <w:spacing w:line="600" w:lineRule="exact"/>
        <w:jc w:val="left"/>
        <w:rPr>
          <w:rFonts w:ascii="仿宋_GB2312" w:eastAsia="仿宋_GB2312" w:hAnsi="宋体"/>
          <w:color w:val="333333"/>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r w:rsidRPr="00FB47D9">
        <w:rPr>
          <w:rFonts w:ascii="黑体" w:eastAsia="黑体" w:hAnsi="宋体" w:hint="eastAsia"/>
          <w:kern w:val="0"/>
          <w:sz w:val="32"/>
          <w:szCs w:val="32"/>
        </w:rPr>
        <w:t>附件2</w:t>
      </w:r>
    </w:p>
    <w:p w:rsidR="00F128F6" w:rsidRPr="00FB47D9" w:rsidRDefault="00F128F6" w:rsidP="00F128F6">
      <w:pPr>
        <w:widowControl/>
        <w:spacing w:line="600" w:lineRule="exact"/>
        <w:ind w:firstLine="847"/>
        <w:jc w:val="center"/>
        <w:rPr>
          <w:rFonts w:ascii="华文中宋" w:eastAsia="华文中宋" w:hAnsi="华文中宋"/>
          <w:b/>
          <w:kern w:val="0"/>
          <w:sz w:val="36"/>
          <w:szCs w:val="36"/>
        </w:rPr>
      </w:pPr>
      <w:r w:rsidRPr="00FB47D9">
        <w:rPr>
          <w:rFonts w:ascii="华文中宋" w:eastAsia="华文中宋" w:hAnsi="华文中宋" w:hint="eastAsia"/>
          <w:b/>
          <w:kern w:val="0"/>
          <w:sz w:val="36"/>
          <w:szCs w:val="36"/>
        </w:rPr>
        <w:lastRenderedPageBreak/>
        <w:t>会计硕士（</w:t>
      </w:r>
      <w:proofErr w:type="spellStart"/>
      <w:r w:rsidRPr="00FB47D9">
        <w:rPr>
          <w:rFonts w:ascii="华文中宋" w:eastAsia="华文中宋" w:hAnsi="华文中宋" w:hint="eastAsia"/>
          <w:b/>
          <w:kern w:val="0"/>
          <w:sz w:val="36"/>
          <w:szCs w:val="36"/>
        </w:rPr>
        <w:t>MPAcc</w:t>
      </w:r>
      <w:proofErr w:type="spellEnd"/>
      <w:r w:rsidRPr="00FB47D9">
        <w:rPr>
          <w:rFonts w:ascii="华文中宋" w:eastAsia="华文中宋" w:hAnsi="华文中宋" w:hint="eastAsia"/>
          <w:b/>
          <w:kern w:val="0"/>
          <w:sz w:val="36"/>
          <w:szCs w:val="36"/>
        </w:rPr>
        <w:t>）专业学位论文质量评审表</w:t>
      </w:r>
    </w:p>
    <w:p w:rsidR="00F128F6" w:rsidRPr="00FB47D9" w:rsidRDefault="00F128F6" w:rsidP="00F128F6">
      <w:pPr>
        <w:widowControl/>
        <w:spacing w:line="600" w:lineRule="exact"/>
        <w:jc w:val="center"/>
        <w:rPr>
          <w:rFonts w:ascii="宋体" w:hAnsi="宋体"/>
          <w:kern w:val="0"/>
          <w:sz w:val="28"/>
          <w:szCs w:val="28"/>
        </w:rPr>
      </w:pPr>
      <w:r w:rsidRPr="00FB47D9">
        <w:rPr>
          <w:rFonts w:ascii="宋体" w:hAnsi="宋体" w:hint="eastAsia"/>
          <w:kern w:val="0"/>
          <w:sz w:val="28"/>
          <w:szCs w:val="28"/>
        </w:rPr>
        <w:t>（调研报告类）</w:t>
      </w:r>
    </w:p>
    <w:tbl>
      <w:tblPr>
        <w:tblW w:w="9310"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4029"/>
        <w:gridCol w:w="1489"/>
        <w:gridCol w:w="1276"/>
        <w:gridCol w:w="1087"/>
      </w:tblGrid>
      <w:tr w:rsidR="00F128F6" w:rsidRPr="00FB47D9" w:rsidTr="003C55B1">
        <w:trPr>
          <w:trHeight w:val="578"/>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评价指标</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77" w:firstLine="426"/>
              <w:jc w:val="center"/>
              <w:rPr>
                <w:rFonts w:ascii="宋体" w:hAnsi="宋体" w:cs="宋体"/>
                <w:b/>
                <w:color w:val="000000"/>
                <w:kern w:val="0"/>
                <w:sz w:val="24"/>
                <w:szCs w:val="24"/>
              </w:rPr>
            </w:pPr>
            <w:r w:rsidRPr="00FB47D9">
              <w:rPr>
                <w:rFonts w:ascii="宋体" w:hAnsi="宋体" w:cs="宋体" w:hint="eastAsia"/>
                <w:b/>
                <w:color w:val="000000"/>
                <w:kern w:val="0"/>
                <w:sz w:val="24"/>
                <w:szCs w:val="24"/>
              </w:rPr>
              <w:t>评价要素</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8" w:firstLine="43"/>
              <w:jc w:val="center"/>
              <w:rPr>
                <w:rFonts w:ascii="Calibri" w:hAnsi="Calibri" w:cs="宋体"/>
                <w:b/>
                <w:color w:val="000000"/>
                <w:kern w:val="0"/>
                <w:sz w:val="24"/>
                <w:szCs w:val="24"/>
              </w:rPr>
            </w:pPr>
            <w:r w:rsidRPr="00FB47D9">
              <w:rPr>
                <w:rFonts w:ascii="Calibri" w:hAnsi="Calibri" w:cs="宋体" w:hint="eastAsia"/>
                <w:b/>
                <w:color w:val="000000"/>
                <w:kern w:val="0"/>
                <w:sz w:val="24"/>
                <w:szCs w:val="24"/>
              </w:rPr>
              <w:t>百分制评分</w:t>
            </w: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8" w:firstLine="43"/>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权重系数</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8" w:firstLine="43"/>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加权分</w:t>
            </w:r>
          </w:p>
        </w:tc>
      </w:tr>
      <w:tr w:rsidR="00F128F6" w:rsidRPr="00FB47D9" w:rsidTr="003C55B1">
        <w:trPr>
          <w:trHeight w:val="966"/>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选题与综述</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选题新颖，来源于会计实务，具有较大的学术或应用价值，能够体现专业类别特点，范围适中。文献综述能够综合反映选题领域的研究现状。</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r w:rsidR="00F128F6" w:rsidRPr="00FB47D9" w:rsidTr="003C55B1">
        <w:trPr>
          <w:trHeight w:val="724"/>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宋体" w:hAnsi="宋体" w:cs="宋体"/>
                <w:color w:val="000000"/>
                <w:kern w:val="0"/>
                <w:sz w:val="24"/>
                <w:szCs w:val="22"/>
              </w:rPr>
            </w:pPr>
            <w:r w:rsidRPr="00FB47D9">
              <w:rPr>
                <w:rFonts w:ascii="宋体" w:hAnsi="宋体" w:cs="宋体" w:hint="eastAsia"/>
                <w:color w:val="000000"/>
                <w:kern w:val="0"/>
                <w:sz w:val="24"/>
                <w:szCs w:val="22"/>
              </w:rPr>
              <w:t>调研设计</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调研设计科学、紧扣主题，资料来源清楚，数据翔实可靠，附录完整。</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r w:rsidR="00F128F6" w:rsidRPr="00FB47D9" w:rsidTr="003C55B1">
        <w:trPr>
          <w:trHeight w:val="723"/>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理论基础</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体现作者具有较强的理论基础，合理的知识结构。</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r w:rsidR="00F128F6" w:rsidRPr="00FB47D9" w:rsidTr="003C55B1">
        <w:trPr>
          <w:trHeight w:val="1124"/>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应用能力</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能够灵活运用理论知识，研究难度大，分析方法科学，具有发现问题、分析问题、解决问题能力，成果具有创新性或现实价值。</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r w:rsidR="00F128F6" w:rsidRPr="00FB47D9" w:rsidTr="003C55B1">
        <w:trPr>
          <w:trHeight w:val="731"/>
          <w:jc w:val="center"/>
        </w:trPr>
        <w:tc>
          <w:tcPr>
            <w:tcW w:w="14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写作水平</w:t>
            </w:r>
          </w:p>
        </w:tc>
        <w:tc>
          <w:tcPr>
            <w:tcW w:w="402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文笔流畅，条理清晰，论证严密，重点突出，作风严谨，格式规范。</w:t>
            </w:r>
          </w:p>
        </w:tc>
        <w:tc>
          <w:tcPr>
            <w:tcW w:w="1489"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6" w:firstLine="38"/>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7"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r w:rsidR="00F128F6" w:rsidRPr="00FB47D9" w:rsidTr="003C55B1">
        <w:trPr>
          <w:trHeight w:val="766"/>
          <w:jc w:val="center"/>
        </w:trPr>
        <w:tc>
          <w:tcPr>
            <w:tcW w:w="5458" w:type="dxa"/>
            <w:gridSpan w:val="2"/>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4"/>
              </w:rPr>
            </w:pPr>
            <w:r w:rsidRPr="00FB47D9">
              <w:rPr>
                <w:rFonts w:ascii="Calibri" w:hAnsi="Calibri" w:hint="eastAsia"/>
                <w:sz w:val="24"/>
                <w:szCs w:val="24"/>
              </w:rPr>
              <w:t>综合评价</w:t>
            </w:r>
          </w:p>
        </w:tc>
        <w:tc>
          <w:tcPr>
            <w:tcW w:w="3852" w:type="dxa"/>
            <w:gridSpan w:val="3"/>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宋体" w:hAnsi="宋体" w:cs="宋体"/>
                <w:color w:val="000000"/>
                <w:kern w:val="0"/>
                <w:sz w:val="24"/>
                <w:szCs w:val="22"/>
              </w:rPr>
            </w:pPr>
          </w:p>
        </w:tc>
      </w:tr>
    </w:tbl>
    <w:p w:rsidR="00F128F6" w:rsidRPr="00FB47D9" w:rsidRDefault="00F128F6" w:rsidP="00F128F6">
      <w:pPr>
        <w:widowControl/>
        <w:spacing w:line="360" w:lineRule="exact"/>
        <w:ind w:firstLineChars="177" w:firstLine="372"/>
        <w:jc w:val="left"/>
        <w:rPr>
          <w:rFonts w:ascii="宋体" w:hAnsi="宋体"/>
        </w:rPr>
      </w:pPr>
      <w:r w:rsidRPr="00FB47D9">
        <w:rPr>
          <w:rFonts w:ascii="宋体" w:hAnsi="宋体" w:hint="eastAsia"/>
        </w:rPr>
        <w:t>注：评价结论为优秀、良好、合格、不合格四种。优秀：≥90；良好89～75；合格：74～60；不合格：≤59。</w:t>
      </w: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p>
    <w:p w:rsidR="00F128F6" w:rsidRPr="00FB47D9" w:rsidRDefault="00F128F6" w:rsidP="00F128F6">
      <w:pPr>
        <w:widowControl/>
        <w:spacing w:line="600" w:lineRule="exact"/>
        <w:jc w:val="left"/>
        <w:rPr>
          <w:rFonts w:ascii="黑体" w:eastAsia="黑体" w:hAnsi="宋体"/>
          <w:kern w:val="0"/>
          <w:sz w:val="32"/>
          <w:szCs w:val="32"/>
        </w:rPr>
      </w:pPr>
      <w:r w:rsidRPr="00FB47D9">
        <w:rPr>
          <w:rFonts w:ascii="黑体" w:eastAsia="黑体" w:hAnsi="宋体" w:hint="eastAsia"/>
          <w:kern w:val="0"/>
          <w:sz w:val="32"/>
          <w:szCs w:val="32"/>
        </w:rPr>
        <w:t>附件3</w:t>
      </w:r>
    </w:p>
    <w:p w:rsidR="00F128F6" w:rsidRPr="00FB47D9" w:rsidRDefault="00F128F6" w:rsidP="00F128F6">
      <w:pPr>
        <w:widowControl/>
        <w:spacing w:line="600" w:lineRule="exact"/>
        <w:ind w:firstLine="847"/>
        <w:jc w:val="center"/>
        <w:rPr>
          <w:rFonts w:ascii="华文中宋" w:eastAsia="华文中宋" w:hAnsi="华文中宋"/>
          <w:b/>
          <w:kern w:val="0"/>
          <w:sz w:val="36"/>
          <w:szCs w:val="36"/>
        </w:rPr>
      </w:pPr>
      <w:r w:rsidRPr="00FB47D9">
        <w:rPr>
          <w:rFonts w:ascii="华文中宋" w:eastAsia="华文中宋" w:hAnsi="华文中宋" w:hint="eastAsia"/>
          <w:b/>
          <w:kern w:val="0"/>
          <w:sz w:val="36"/>
          <w:szCs w:val="36"/>
        </w:rPr>
        <w:lastRenderedPageBreak/>
        <w:t>会计硕士（</w:t>
      </w:r>
      <w:proofErr w:type="spellStart"/>
      <w:r w:rsidRPr="00FB47D9">
        <w:rPr>
          <w:rFonts w:ascii="华文中宋" w:eastAsia="华文中宋" w:hAnsi="华文中宋" w:hint="eastAsia"/>
          <w:b/>
          <w:kern w:val="0"/>
          <w:sz w:val="36"/>
          <w:szCs w:val="36"/>
        </w:rPr>
        <w:t>MPAcc</w:t>
      </w:r>
      <w:proofErr w:type="spellEnd"/>
      <w:r w:rsidRPr="00FB47D9">
        <w:rPr>
          <w:rFonts w:ascii="华文中宋" w:eastAsia="华文中宋" w:hAnsi="华文中宋" w:hint="eastAsia"/>
          <w:b/>
          <w:kern w:val="0"/>
          <w:sz w:val="36"/>
          <w:szCs w:val="36"/>
        </w:rPr>
        <w:t>）专业学位论文质量评审表</w:t>
      </w:r>
    </w:p>
    <w:p w:rsidR="00F128F6" w:rsidRPr="00FB47D9" w:rsidRDefault="00F128F6" w:rsidP="00F128F6">
      <w:pPr>
        <w:widowControl/>
        <w:spacing w:line="600" w:lineRule="exact"/>
        <w:ind w:firstLine="658"/>
        <w:jc w:val="center"/>
        <w:rPr>
          <w:rFonts w:ascii="宋体" w:hAnsi="宋体"/>
          <w:kern w:val="0"/>
          <w:sz w:val="28"/>
          <w:szCs w:val="28"/>
        </w:rPr>
      </w:pPr>
      <w:r w:rsidRPr="00FB47D9">
        <w:rPr>
          <w:rFonts w:ascii="宋体" w:hAnsi="宋体" w:hint="eastAsia"/>
          <w:kern w:val="0"/>
          <w:sz w:val="28"/>
          <w:szCs w:val="28"/>
        </w:rPr>
        <w:t>（专题研究类）</w:t>
      </w:r>
    </w:p>
    <w:tbl>
      <w:tblPr>
        <w:tblW w:w="9204"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032"/>
        <w:gridCol w:w="1544"/>
        <w:gridCol w:w="1260"/>
        <w:gridCol w:w="1080"/>
      </w:tblGrid>
      <w:tr w:rsidR="00F128F6" w:rsidRPr="00FB47D9" w:rsidTr="003C55B1">
        <w:trPr>
          <w:trHeight w:val="578"/>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评价指标</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77" w:firstLine="426"/>
              <w:jc w:val="center"/>
              <w:rPr>
                <w:rFonts w:ascii="宋体" w:hAnsi="宋体" w:cs="宋体"/>
                <w:b/>
                <w:color w:val="000000"/>
                <w:kern w:val="0"/>
                <w:sz w:val="24"/>
                <w:szCs w:val="24"/>
              </w:rPr>
            </w:pPr>
            <w:r w:rsidRPr="00FB47D9">
              <w:rPr>
                <w:rFonts w:ascii="宋体" w:hAnsi="宋体" w:cs="宋体" w:hint="eastAsia"/>
                <w:b/>
                <w:color w:val="000000"/>
                <w:kern w:val="0"/>
                <w:sz w:val="24"/>
                <w:szCs w:val="24"/>
              </w:rPr>
              <w:t>评价要素</w:t>
            </w:r>
          </w:p>
        </w:tc>
        <w:tc>
          <w:tcPr>
            <w:tcW w:w="1544"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jc w:val="center"/>
              <w:rPr>
                <w:rFonts w:ascii="Calibri" w:hAnsi="Calibri" w:cs="宋体"/>
                <w:b/>
                <w:color w:val="000000"/>
                <w:kern w:val="0"/>
                <w:sz w:val="24"/>
                <w:szCs w:val="24"/>
              </w:rPr>
            </w:pPr>
            <w:r w:rsidRPr="00FB47D9">
              <w:rPr>
                <w:rFonts w:ascii="Calibri" w:hAnsi="Calibri" w:cs="宋体" w:hint="eastAsia"/>
                <w:b/>
                <w:color w:val="000000"/>
                <w:kern w:val="0"/>
                <w:sz w:val="24"/>
                <w:szCs w:val="24"/>
              </w:rPr>
              <w:t>百分制评分</w:t>
            </w: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权重系数</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600" w:lineRule="exact"/>
              <w:ind w:firstLineChars="16" w:firstLine="39"/>
              <w:jc w:val="center"/>
              <w:rPr>
                <w:rFonts w:ascii="宋体" w:hAnsi="宋体" w:cs="宋体"/>
                <w:b/>
                <w:color w:val="000000"/>
                <w:kern w:val="0"/>
                <w:sz w:val="24"/>
                <w:szCs w:val="24"/>
              </w:rPr>
            </w:pPr>
            <w:r w:rsidRPr="00FB47D9">
              <w:rPr>
                <w:rFonts w:ascii="Calibri" w:hAnsi="Calibri" w:cs="宋体" w:hint="eastAsia"/>
                <w:b/>
                <w:color w:val="000000"/>
                <w:kern w:val="0"/>
                <w:sz w:val="24"/>
                <w:szCs w:val="24"/>
              </w:rPr>
              <w:t>加权分</w:t>
            </w:r>
          </w:p>
        </w:tc>
      </w:tr>
      <w:tr w:rsidR="00F128F6" w:rsidRPr="00FB47D9" w:rsidTr="003C55B1">
        <w:trPr>
          <w:trHeight w:val="966"/>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选题与特色</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选题新颖，来源于会计实务，具有较大的学术或应用价值，能够体现专业类别特点，方向明确，范围适中。</w:t>
            </w:r>
          </w:p>
        </w:tc>
        <w:tc>
          <w:tcPr>
            <w:tcW w:w="1544"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1137"/>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宋体" w:hAnsi="宋体" w:cs="宋体"/>
                <w:color w:val="000000"/>
                <w:kern w:val="0"/>
                <w:sz w:val="24"/>
                <w:szCs w:val="22"/>
              </w:rPr>
            </w:pPr>
            <w:r w:rsidRPr="00FB47D9">
              <w:rPr>
                <w:rFonts w:ascii="宋体" w:hAnsi="宋体" w:cs="宋体" w:hint="eastAsia"/>
                <w:color w:val="000000"/>
                <w:kern w:val="0"/>
                <w:sz w:val="24"/>
                <w:szCs w:val="22"/>
              </w:rPr>
              <w:t>文献综述</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能够综合反映研究主题相关领域的研究现状，概念界定合理，归纳总结正确。</w:t>
            </w:r>
          </w:p>
        </w:tc>
        <w:tc>
          <w:tcPr>
            <w:tcW w:w="1544"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878"/>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理论基础</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体现作者具有较强的理论基础，合理的知识结构。</w:t>
            </w:r>
          </w:p>
        </w:tc>
        <w:tc>
          <w:tcPr>
            <w:tcW w:w="1544"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1124"/>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tabs>
                <w:tab w:val="left" w:pos="1080"/>
              </w:tabs>
              <w:spacing w:line="460" w:lineRule="exact"/>
              <w:jc w:val="center"/>
              <w:rPr>
                <w:rFonts w:ascii="Calibri" w:hAnsi="Calibri"/>
                <w:szCs w:val="22"/>
              </w:rPr>
            </w:pPr>
            <w:r w:rsidRPr="00FB47D9">
              <w:rPr>
                <w:rFonts w:ascii="Calibri" w:hAnsi="Calibri" w:hint="eastAsia"/>
                <w:szCs w:val="22"/>
              </w:rPr>
              <w:t>应用能力</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能够灵活运用理论知识，研究难度大，分析方法科学，具有发现问题、分析问题、解决问题能力，成果具有创新性或现实价值。</w:t>
            </w:r>
          </w:p>
        </w:tc>
        <w:tc>
          <w:tcPr>
            <w:tcW w:w="1544"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703"/>
          <w:jc w:val="center"/>
        </w:trPr>
        <w:tc>
          <w:tcPr>
            <w:tcW w:w="1288"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szCs w:val="22"/>
              </w:rPr>
            </w:pPr>
            <w:r w:rsidRPr="00FB47D9">
              <w:rPr>
                <w:rFonts w:ascii="Calibri" w:hAnsi="Calibri" w:hint="eastAsia"/>
                <w:szCs w:val="22"/>
              </w:rPr>
              <w:t>写作水平</w:t>
            </w:r>
          </w:p>
        </w:tc>
        <w:tc>
          <w:tcPr>
            <w:tcW w:w="4032"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r w:rsidRPr="00FB47D9">
              <w:rPr>
                <w:rFonts w:ascii="宋体" w:hAnsi="宋体" w:cs="宋体" w:hint="eastAsia"/>
                <w:color w:val="000000"/>
                <w:kern w:val="0"/>
                <w:sz w:val="24"/>
                <w:szCs w:val="22"/>
              </w:rPr>
              <w:t>文笔流畅，条理清晰，论证严密，重点突出，作风严谨，格式规范。</w:t>
            </w:r>
          </w:p>
        </w:tc>
        <w:tc>
          <w:tcPr>
            <w:tcW w:w="1544" w:type="dxa"/>
            <w:tcBorders>
              <w:top w:val="single" w:sz="4" w:space="0" w:color="auto"/>
              <w:left w:val="single" w:sz="4" w:space="0" w:color="auto"/>
              <w:bottom w:val="single" w:sz="4" w:space="0" w:color="auto"/>
              <w:right w:val="single" w:sz="4" w:space="0" w:color="auto"/>
            </w:tcBorders>
          </w:tcPr>
          <w:p w:rsidR="00F128F6" w:rsidRPr="00FB47D9" w:rsidRDefault="00F128F6" w:rsidP="003C55B1">
            <w:pPr>
              <w:widowControl/>
              <w:spacing w:line="460" w:lineRule="exact"/>
              <w:ind w:firstLineChars="177" w:firstLine="425"/>
              <w:jc w:val="center"/>
              <w:rPr>
                <w:rFonts w:ascii="Calibri" w:hAnsi="Calibri"/>
                <w:color w:val="000000"/>
                <w:kern w:val="0"/>
                <w:sz w:val="24"/>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jc w:val="center"/>
              <w:rPr>
                <w:rFonts w:ascii="Calibri" w:hAnsi="Calibri"/>
                <w:color w:val="000000"/>
                <w:kern w:val="0"/>
                <w:sz w:val="24"/>
                <w:szCs w:val="22"/>
              </w:rPr>
            </w:pPr>
            <w:r w:rsidRPr="00FB47D9">
              <w:rPr>
                <w:rFonts w:ascii="Calibri" w:hAnsi="Calibri"/>
                <w:color w:val="000000"/>
                <w:kern w:val="0"/>
                <w:sz w:val="24"/>
                <w:szCs w:val="22"/>
              </w:rPr>
              <w:t>0.</w:t>
            </w:r>
            <w:r w:rsidRPr="00FB47D9">
              <w:rPr>
                <w:rFonts w:ascii="Calibri" w:hAnsi="Calibri" w:hint="eastAsia"/>
                <w:color w:val="000000"/>
                <w:kern w:val="0"/>
                <w:sz w:val="24"/>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r w:rsidR="00F128F6" w:rsidRPr="00FB47D9" w:rsidTr="003C55B1">
        <w:trPr>
          <w:trHeight w:val="766"/>
          <w:jc w:val="center"/>
        </w:trPr>
        <w:tc>
          <w:tcPr>
            <w:tcW w:w="5320" w:type="dxa"/>
            <w:gridSpan w:val="2"/>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center"/>
              <w:rPr>
                <w:rFonts w:ascii="Calibri" w:hAnsi="Calibri"/>
                <w:color w:val="000000"/>
                <w:kern w:val="0"/>
                <w:sz w:val="24"/>
                <w:szCs w:val="24"/>
              </w:rPr>
            </w:pPr>
            <w:r w:rsidRPr="00FB47D9">
              <w:rPr>
                <w:rFonts w:ascii="Calibri" w:hAnsi="Calibri" w:hint="eastAsia"/>
                <w:sz w:val="24"/>
                <w:szCs w:val="24"/>
              </w:rPr>
              <w:t>综合评价</w:t>
            </w:r>
          </w:p>
        </w:tc>
        <w:tc>
          <w:tcPr>
            <w:tcW w:w="3884" w:type="dxa"/>
            <w:gridSpan w:val="3"/>
            <w:tcBorders>
              <w:top w:val="single" w:sz="4" w:space="0" w:color="auto"/>
              <w:left w:val="single" w:sz="4" w:space="0" w:color="auto"/>
              <w:bottom w:val="single" w:sz="4" w:space="0" w:color="auto"/>
              <w:right w:val="single" w:sz="4" w:space="0" w:color="auto"/>
            </w:tcBorders>
            <w:vAlign w:val="center"/>
          </w:tcPr>
          <w:p w:rsidR="00F128F6" w:rsidRPr="00FB47D9" w:rsidRDefault="00F128F6" w:rsidP="003C55B1">
            <w:pPr>
              <w:widowControl/>
              <w:spacing w:line="460" w:lineRule="exact"/>
              <w:ind w:firstLineChars="177" w:firstLine="425"/>
              <w:jc w:val="left"/>
              <w:rPr>
                <w:rFonts w:ascii="宋体" w:hAnsi="宋体" w:cs="宋体"/>
                <w:color w:val="000000"/>
                <w:kern w:val="0"/>
                <w:sz w:val="24"/>
                <w:szCs w:val="22"/>
              </w:rPr>
            </w:pPr>
          </w:p>
        </w:tc>
      </w:tr>
    </w:tbl>
    <w:p w:rsidR="00F128F6" w:rsidRPr="00FB47D9" w:rsidRDefault="00F128F6" w:rsidP="00F128F6">
      <w:pPr>
        <w:widowControl/>
        <w:spacing w:line="360" w:lineRule="exact"/>
        <w:ind w:firstLineChars="177" w:firstLine="372"/>
        <w:jc w:val="left"/>
        <w:rPr>
          <w:rFonts w:ascii="宋体" w:hAnsi="宋体"/>
        </w:rPr>
      </w:pPr>
      <w:r w:rsidRPr="00FB47D9">
        <w:rPr>
          <w:rFonts w:ascii="宋体" w:hAnsi="宋体" w:hint="eastAsia"/>
        </w:rPr>
        <w:t>注：评价结论为优秀、良好、合格、不合格四种。优秀：≥90；良好89～75；合格：74～60；不合格：≤59。</w:t>
      </w:r>
    </w:p>
    <w:p w:rsidR="00F128F6" w:rsidRPr="00FB47D9" w:rsidRDefault="00F128F6" w:rsidP="00F128F6">
      <w:pPr>
        <w:widowControl/>
        <w:spacing w:line="600" w:lineRule="exact"/>
        <w:ind w:firstLineChars="177" w:firstLine="372"/>
        <w:jc w:val="left"/>
        <w:rPr>
          <w:rFonts w:ascii="宋体" w:hAnsi="宋体"/>
        </w:rPr>
      </w:pPr>
    </w:p>
    <w:p w:rsidR="00E02707" w:rsidRPr="00F128F6" w:rsidRDefault="00E02707"/>
    <w:sectPr w:rsidR="00E02707" w:rsidRPr="00F128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F6"/>
    <w:rsid w:val="00823810"/>
    <w:rsid w:val="00E02707"/>
    <w:rsid w:val="00F1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F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F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2015-09-17T03:40:00Z</dcterms:created>
  <dcterms:modified xsi:type="dcterms:W3CDTF">2015-09-17T03:41:00Z</dcterms:modified>
</cp:coreProperties>
</file>